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72F1" w14:textId="77777777" w:rsidR="00BE7BDE" w:rsidRPr="00BE7BDE" w:rsidRDefault="00BE7BDE" w:rsidP="00BE7BDE">
      <w:pPr>
        <w:rPr>
          <w:b/>
          <w:bCs/>
        </w:rPr>
      </w:pPr>
      <w:r w:rsidRPr="00BE7BDE">
        <w:rPr>
          <w:b/>
          <w:bCs/>
        </w:rPr>
        <w:t>DELTASCOPE® DMP10 / DMP30 – Precision Coating Thickness Gauges for Ferrous Substrates</w:t>
      </w:r>
    </w:p>
    <w:p w14:paraId="5B1A6270" w14:textId="77777777" w:rsidR="00BE7BDE" w:rsidRPr="00C575F8" w:rsidRDefault="00BE7BDE" w:rsidP="00BE7BDE">
      <w:r w:rsidRPr="00C575F8">
        <w:t>The DELTASCOPE® DMP10 and DMP30 are rugged handheld instruments for non-destructive coating thickness measurement on steel and iron using the magnetic inductive method (DIN EN ISO 2178). Both models are engineered for reliability, ease of use, and accuracy in demanding industrial environments—measuring coatings such as paint, lacquer, plastic, zinc, chrome, and copper.</w:t>
      </w:r>
    </w:p>
    <w:p w14:paraId="1E3F4931" w14:textId="77777777" w:rsidR="00BE7BDE" w:rsidRPr="00C575F8" w:rsidRDefault="00BE7BDE" w:rsidP="00BE7BDE">
      <w:r w:rsidRPr="00C575F8">
        <w:t>While the DMP10 offers dependable, entry-level functionality and stores up to 10,000 readings, the DMP30 enhances productivity with advanced memory (250,000 readings in 2,500 batches) and built-in Bluetooth® capability for wireless data transfer. Choose based on your data management and connectivity needs.</w:t>
      </w:r>
    </w:p>
    <w:p w14:paraId="7CE7A2DB" w14:textId="77777777" w:rsidR="00BE7BDE" w:rsidRPr="00BE7BDE" w:rsidRDefault="00000000" w:rsidP="00BE7BDE">
      <w:r>
        <w:pict w14:anchorId="3F425064">
          <v:rect id="_x0000_i1025" style="width:0;height:1.5pt" o:hralign="center" o:hrstd="t" o:hr="t" fillcolor="#a0a0a0" stroked="f"/>
        </w:pict>
      </w:r>
    </w:p>
    <w:p w14:paraId="5D5FA564" w14:textId="77777777" w:rsidR="00BE7BDE" w:rsidRPr="00BE7BDE" w:rsidRDefault="00BE7BDE" w:rsidP="00BE7BDE">
      <w:pPr>
        <w:rPr>
          <w:b/>
          <w:bCs/>
        </w:rPr>
      </w:pPr>
      <w:r w:rsidRPr="00BE7BDE">
        <w:rPr>
          <w:rFonts w:ascii="Segoe UI Emoji" w:hAnsi="Segoe UI Emoji" w:cs="Segoe UI Emoji"/>
          <w:b/>
          <w:bCs/>
        </w:rPr>
        <w:t>🔧</w:t>
      </w:r>
      <w:r w:rsidRPr="00BE7BDE">
        <w:rPr>
          <w:b/>
          <w:bCs/>
        </w:rPr>
        <w:t xml:space="preserve"> Key Features</w:t>
      </w:r>
    </w:p>
    <w:p w14:paraId="3958D4A8" w14:textId="77777777" w:rsidR="00BE7BDE" w:rsidRPr="00C575F8" w:rsidRDefault="00BE7BDE" w:rsidP="00BE7BDE">
      <w:pPr>
        <w:numPr>
          <w:ilvl w:val="0"/>
          <w:numId w:val="1"/>
        </w:numPr>
      </w:pPr>
      <w:r w:rsidRPr="00C575F8">
        <w:t>Magnetic induction measurement for coatings on ferrous substrates (ISO 2178)</w:t>
      </w:r>
    </w:p>
    <w:p w14:paraId="1FE2F704" w14:textId="77777777" w:rsidR="00BE7BDE" w:rsidRPr="00C575F8" w:rsidRDefault="00BE7BDE" w:rsidP="00BE7BDE">
      <w:pPr>
        <w:numPr>
          <w:ilvl w:val="0"/>
          <w:numId w:val="1"/>
        </w:numPr>
      </w:pPr>
      <w:r w:rsidRPr="00C575F8">
        <w:t>Robust IP64-rated aluminum housing: shockproof, dustproof, and water-resistant</w:t>
      </w:r>
    </w:p>
    <w:p w14:paraId="612B20F4" w14:textId="77777777" w:rsidR="00BE7BDE" w:rsidRPr="00C575F8" w:rsidRDefault="00BE7BDE" w:rsidP="00BE7BDE">
      <w:pPr>
        <w:numPr>
          <w:ilvl w:val="0"/>
          <w:numId w:val="1"/>
        </w:numPr>
      </w:pPr>
      <w:r w:rsidRPr="00C575F8">
        <w:t>Ergonomic handheld design with intuitive 4-key operation</w:t>
      </w:r>
    </w:p>
    <w:p w14:paraId="4E9C1BF0" w14:textId="77777777" w:rsidR="00BE7BDE" w:rsidRPr="00C575F8" w:rsidRDefault="00BE7BDE" w:rsidP="00BE7BDE">
      <w:pPr>
        <w:numPr>
          <w:ilvl w:val="0"/>
          <w:numId w:val="1"/>
        </w:numPr>
      </w:pPr>
      <w:r w:rsidRPr="00C575F8">
        <w:t>Rotatable, high-contrast color display for optimal viewing at any angle</w:t>
      </w:r>
    </w:p>
    <w:p w14:paraId="55E8A439" w14:textId="77777777" w:rsidR="00BE7BDE" w:rsidRPr="00C575F8" w:rsidRDefault="00BE7BDE" w:rsidP="00BE7BDE">
      <w:pPr>
        <w:numPr>
          <w:ilvl w:val="0"/>
          <w:numId w:val="1"/>
        </w:numPr>
      </w:pPr>
      <w:r w:rsidRPr="00C575F8">
        <w:t>Visual and acoustic tolerance alerts (DMP30 also includes haptic feedback)</w:t>
      </w:r>
    </w:p>
    <w:p w14:paraId="58F0F6F9" w14:textId="77777777" w:rsidR="00BE7BDE" w:rsidRPr="00C575F8" w:rsidRDefault="00BE7BDE" w:rsidP="00BE7BDE">
      <w:pPr>
        <w:numPr>
          <w:ilvl w:val="0"/>
          <w:numId w:val="1"/>
        </w:numPr>
      </w:pPr>
      <w:r w:rsidRPr="00C575F8">
        <w:t>USB interface for data transfer (DMP30 includes Bluetooth® dongle for wireless transfer)</w:t>
      </w:r>
    </w:p>
    <w:p w14:paraId="2F3F8740" w14:textId="77777777" w:rsidR="00BE7BDE" w:rsidRPr="00C575F8" w:rsidRDefault="00BE7BDE" w:rsidP="00BE7BDE">
      <w:pPr>
        <w:numPr>
          <w:ilvl w:val="0"/>
          <w:numId w:val="1"/>
        </w:numPr>
      </w:pPr>
      <w:r w:rsidRPr="00C575F8">
        <w:t>Rechargeable lithium battery with up to 24 hours of continuous runtime</w:t>
      </w:r>
    </w:p>
    <w:p w14:paraId="33345F18" w14:textId="77777777" w:rsidR="00BE7BDE" w:rsidRPr="00C575F8" w:rsidRDefault="00BE7BDE" w:rsidP="00BE7BDE">
      <w:pPr>
        <w:numPr>
          <w:ilvl w:val="0"/>
          <w:numId w:val="1"/>
        </w:numPr>
      </w:pPr>
      <w:r w:rsidRPr="00C575F8">
        <w:t>Multilingual menu navigation (22 languages), accessible for users of all skill levels</w:t>
      </w:r>
    </w:p>
    <w:p w14:paraId="7B30E213" w14:textId="77777777" w:rsidR="00BE7BDE" w:rsidRPr="00C575F8" w:rsidRDefault="00BE7BDE" w:rsidP="00BE7BDE">
      <w:pPr>
        <w:numPr>
          <w:ilvl w:val="0"/>
          <w:numId w:val="1"/>
        </w:numPr>
      </w:pPr>
      <w:r w:rsidRPr="00C575F8">
        <w:t>Compatible with Fischer digital F-probes and legacy F-probes via optional adapter</w:t>
      </w:r>
    </w:p>
    <w:p w14:paraId="1D5DE240" w14:textId="77777777" w:rsidR="00BE7BDE" w:rsidRPr="00C575F8" w:rsidRDefault="00BE7BDE" w:rsidP="00BE7BDE">
      <w:pPr>
        <w:numPr>
          <w:ilvl w:val="0"/>
          <w:numId w:val="1"/>
        </w:numPr>
      </w:pPr>
      <w:r w:rsidRPr="00C575F8">
        <w:t>Integrated graphical user guidance for streamlined measurement workflows</w:t>
      </w:r>
    </w:p>
    <w:p w14:paraId="35BD61BB" w14:textId="77777777" w:rsidR="00BE7BDE" w:rsidRPr="00C575F8" w:rsidRDefault="00BE7BDE" w:rsidP="00BE7BDE">
      <w:pPr>
        <w:numPr>
          <w:ilvl w:val="0"/>
          <w:numId w:val="1"/>
        </w:numPr>
      </w:pPr>
      <w:r w:rsidRPr="00C575F8">
        <w:t>Tactile Suite® software support for data reporting and analysis</w:t>
      </w:r>
    </w:p>
    <w:p w14:paraId="3D5B0A6A" w14:textId="77777777" w:rsidR="00BE7BDE" w:rsidRPr="00C575F8" w:rsidRDefault="00BE7BDE" w:rsidP="00BE7BDE">
      <w:pPr>
        <w:numPr>
          <w:ilvl w:val="0"/>
          <w:numId w:val="1"/>
        </w:numPr>
      </w:pPr>
      <w:r w:rsidRPr="00C575F8">
        <w:t>DMP30 only: Extended memory capacity of 250,000 readings in 2,500 batches (vs. 10,000 on DMP10)</w:t>
      </w:r>
    </w:p>
    <w:p w14:paraId="68AB6949" w14:textId="77777777" w:rsidR="00BE7BDE" w:rsidRPr="00BE7BDE" w:rsidRDefault="00000000" w:rsidP="00BE7BDE">
      <w:r>
        <w:pict w14:anchorId="6E12DF4F">
          <v:rect id="_x0000_i1026" style="width:0;height:1.5pt" o:hralign="center" o:hrstd="t" o:hr="t" fillcolor="#a0a0a0" stroked="f"/>
        </w:pict>
      </w:r>
    </w:p>
    <w:p w14:paraId="06C6F175" w14:textId="77777777" w:rsidR="00C575F8" w:rsidRDefault="00C575F8" w:rsidP="00BE7BDE">
      <w:pPr>
        <w:rPr>
          <w:rFonts w:ascii="Segoe UI Emoji" w:hAnsi="Segoe UI Emoji" w:cs="Segoe UI Emoji"/>
          <w:b/>
          <w:bCs/>
        </w:rPr>
      </w:pPr>
    </w:p>
    <w:p w14:paraId="12F2FB20" w14:textId="57BCF319" w:rsidR="00BE7BDE" w:rsidRPr="00BE7BDE" w:rsidRDefault="00BE7BDE" w:rsidP="00BE7BDE">
      <w:pPr>
        <w:rPr>
          <w:b/>
          <w:bCs/>
        </w:rPr>
      </w:pPr>
      <w:r w:rsidRPr="00BE7BDE">
        <w:rPr>
          <w:rFonts w:ascii="Segoe UI Emoji" w:hAnsi="Segoe UI Emoji" w:cs="Segoe UI Emoji"/>
          <w:b/>
          <w:bCs/>
        </w:rPr>
        <w:lastRenderedPageBreak/>
        <w:t>⚙️</w:t>
      </w:r>
      <w:r w:rsidRPr="00BE7BDE">
        <w:rPr>
          <w:b/>
          <w:bCs/>
        </w:rPr>
        <w:t xml:space="preserve"> Technical Attributes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3"/>
        <w:gridCol w:w="3366"/>
        <w:gridCol w:w="3661"/>
      </w:tblGrid>
      <w:tr w:rsidR="00BE7BDE" w:rsidRPr="00BE7BDE" w14:paraId="211BD1BE" w14:textId="77777777" w:rsidTr="00BE7BDE">
        <w:trPr>
          <w:tblHeader/>
          <w:tblCellSpacing w:w="15" w:type="dxa"/>
        </w:trPr>
        <w:tc>
          <w:tcPr>
            <w:tcW w:w="0" w:type="auto"/>
            <w:vAlign w:val="center"/>
            <w:hideMark/>
          </w:tcPr>
          <w:p w14:paraId="0E98B9CB" w14:textId="77777777" w:rsidR="00BE7BDE" w:rsidRPr="00BE7BDE" w:rsidRDefault="00BE7BDE" w:rsidP="00BE7BDE">
            <w:pPr>
              <w:rPr>
                <w:b/>
                <w:bCs/>
              </w:rPr>
            </w:pPr>
            <w:r w:rsidRPr="00BE7BDE">
              <w:rPr>
                <w:b/>
                <w:bCs/>
              </w:rPr>
              <w:t>Attribute</w:t>
            </w:r>
          </w:p>
        </w:tc>
        <w:tc>
          <w:tcPr>
            <w:tcW w:w="0" w:type="auto"/>
            <w:vAlign w:val="center"/>
            <w:hideMark/>
          </w:tcPr>
          <w:p w14:paraId="141C58F2" w14:textId="77777777" w:rsidR="00BE7BDE" w:rsidRPr="00BE7BDE" w:rsidRDefault="00BE7BDE" w:rsidP="00BE7BDE">
            <w:pPr>
              <w:rPr>
                <w:b/>
                <w:bCs/>
              </w:rPr>
            </w:pPr>
            <w:r w:rsidRPr="00BE7BDE">
              <w:rPr>
                <w:b/>
                <w:bCs/>
              </w:rPr>
              <w:t>DMP10</w:t>
            </w:r>
          </w:p>
        </w:tc>
        <w:tc>
          <w:tcPr>
            <w:tcW w:w="0" w:type="auto"/>
            <w:vAlign w:val="center"/>
            <w:hideMark/>
          </w:tcPr>
          <w:p w14:paraId="1E8CF83C" w14:textId="77777777" w:rsidR="00BE7BDE" w:rsidRPr="00BE7BDE" w:rsidRDefault="00BE7BDE" w:rsidP="00BE7BDE">
            <w:pPr>
              <w:rPr>
                <w:b/>
                <w:bCs/>
              </w:rPr>
            </w:pPr>
            <w:r w:rsidRPr="00BE7BDE">
              <w:rPr>
                <w:b/>
                <w:bCs/>
              </w:rPr>
              <w:t>DMP30</w:t>
            </w:r>
          </w:p>
        </w:tc>
      </w:tr>
      <w:tr w:rsidR="00BE7BDE" w:rsidRPr="00BE7BDE" w14:paraId="1EBDDB8C" w14:textId="77777777" w:rsidTr="00BE7BDE">
        <w:trPr>
          <w:tblCellSpacing w:w="15" w:type="dxa"/>
        </w:trPr>
        <w:tc>
          <w:tcPr>
            <w:tcW w:w="0" w:type="auto"/>
            <w:vAlign w:val="center"/>
            <w:hideMark/>
          </w:tcPr>
          <w:p w14:paraId="434A257D" w14:textId="77777777" w:rsidR="00BE7BDE" w:rsidRPr="00BE7BDE" w:rsidRDefault="00BE7BDE" w:rsidP="00BE7BDE">
            <w:r w:rsidRPr="00BE7BDE">
              <w:t>Measurement Method</w:t>
            </w:r>
          </w:p>
        </w:tc>
        <w:tc>
          <w:tcPr>
            <w:tcW w:w="0" w:type="auto"/>
            <w:vAlign w:val="center"/>
            <w:hideMark/>
          </w:tcPr>
          <w:p w14:paraId="0E8D007C" w14:textId="77777777" w:rsidR="00BE7BDE" w:rsidRPr="00BE7BDE" w:rsidRDefault="00BE7BDE" w:rsidP="00BE7BDE">
            <w:r w:rsidRPr="00BE7BDE">
              <w:t>Magnetic Inductive (ISO 2178)</w:t>
            </w:r>
          </w:p>
        </w:tc>
        <w:tc>
          <w:tcPr>
            <w:tcW w:w="0" w:type="auto"/>
            <w:vAlign w:val="center"/>
            <w:hideMark/>
          </w:tcPr>
          <w:p w14:paraId="525840E1" w14:textId="77777777" w:rsidR="00BE7BDE" w:rsidRPr="00BE7BDE" w:rsidRDefault="00BE7BDE" w:rsidP="00BE7BDE">
            <w:r w:rsidRPr="00BE7BDE">
              <w:t>Magnetic Inductive (ISO 2178)</w:t>
            </w:r>
          </w:p>
        </w:tc>
      </w:tr>
      <w:tr w:rsidR="00BE7BDE" w:rsidRPr="00BE7BDE" w14:paraId="66B49857" w14:textId="77777777" w:rsidTr="00BE7BDE">
        <w:trPr>
          <w:tblCellSpacing w:w="15" w:type="dxa"/>
        </w:trPr>
        <w:tc>
          <w:tcPr>
            <w:tcW w:w="0" w:type="auto"/>
            <w:vAlign w:val="center"/>
            <w:hideMark/>
          </w:tcPr>
          <w:p w14:paraId="749C3B3C" w14:textId="77777777" w:rsidR="00BE7BDE" w:rsidRPr="00BE7BDE" w:rsidRDefault="00BE7BDE" w:rsidP="00BE7BDE">
            <w:r w:rsidRPr="00BE7BDE">
              <w:t>Substrate</w:t>
            </w:r>
          </w:p>
        </w:tc>
        <w:tc>
          <w:tcPr>
            <w:tcW w:w="0" w:type="auto"/>
            <w:vAlign w:val="center"/>
            <w:hideMark/>
          </w:tcPr>
          <w:p w14:paraId="28996189" w14:textId="77777777" w:rsidR="00BE7BDE" w:rsidRPr="00BE7BDE" w:rsidRDefault="00BE7BDE" w:rsidP="00BE7BDE">
            <w:r w:rsidRPr="00BE7BDE">
              <w:t>Ferrous materials (steel, iron)</w:t>
            </w:r>
          </w:p>
        </w:tc>
        <w:tc>
          <w:tcPr>
            <w:tcW w:w="0" w:type="auto"/>
            <w:vAlign w:val="center"/>
            <w:hideMark/>
          </w:tcPr>
          <w:p w14:paraId="1F3F9E9C" w14:textId="77777777" w:rsidR="00BE7BDE" w:rsidRPr="00BE7BDE" w:rsidRDefault="00BE7BDE" w:rsidP="00BE7BDE">
            <w:r w:rsidRPr="00BE7BDE">
              <w:t>Ferrous materials (steel, iron)</w:t>
            </w:r>
          </w:p>
        </w:tc>
      </w:tr>
      <w:tr w:rsidR="00BE7BDE" w:rsidRPr="00BE7BDE" w14:paraId="6DC45B6D" w14:textId="77777777" w:rsidTr="00BE7BDE">
        <w:trPr>
          <w:tblCellSpacing w:w="15" w:type="dxa"/>
        </w:trPr>
        <w:tc>
          <w:tcPr>
            <w:tcW w:w="0" w:type="auto"/>
            <w:vAlign w:val="center"/>
            <w:hideMark/>
          </w:tcPr>
          <w:p w14:paraId="3945415C" w14:textId="77777777" w:rsidR="00BE7BDE" w:rsidRPr="00BE7BDE" w:rsidRDefault="00BE7BDE" w:rsidP="00BE7BDE">
            <w:r w:rsidRPr="00BE7BDE">
              <w:t>Coatings Measured</w:t>
            </w:r>
          </w:p>
        </w:tc>
        <w:tc>
          <w:tcPr>
            <w:tcW w:w="0" w:type="auto"/>
            <w:vAlign w:val="center"/>
            <w:hideMark/>
          </w:tcPr>
          <w:p w14:paraId="30E934A6" w14:textId="77777777" w:rsidR="00BE7BDE" w:rsidRPr="00BE7BDE" w:rsidRDefault="00BE7BDE" w:rsidP="00BE7BDE">
            <w:r w:rsidRPr="00BE7BDE">
              <w:t>Paint, lacquer, plastic, Zn, Cr, Cu</w:t>
            </w:r>
          </w:p>
        </w:tc>
        <w:tc>
          <w:tcPr>
            <w:tcW w:w="0" w:type="auto"/>
            <w:vAlign w:val="center"/>
            <w:hideMark/>
          </w:tcPr>
          <w:p w14:paraId="7D95900E" w14:textId="77777777" w:rsidR="00BE7BDE" w:rsidRPr="00BE7BDE" w:rsidRDefault="00BE7BDE" w:rsidP="00BE7BDE">
            <w:r w:rsidRPr="00BE7BDE">
              <w:t>Paint, lacquer, plastic, Zn, Cr, Cu</w:t>
            </w:r>
          </w:p>
        </w:tc>
      </w:tr>
      <w:tr w:rsidR="00BE7BDE" w:rsidRPr="00BE7BDE" w14:paraId="2CEE7125" w14:textId="77777777" w:rsidTr="00BE7BDE">
        <w:trPr>
          <w:tblCellSpacing w:w="15" w:type="dxa"/>
        </w:trPr>
        <w:tc>
          <w:tcPr>
            <w:tcW w:w="0" w:type="auto"/>
            <w:vAlign w:val="center"/>
            <w:hideMark/>
          </w:tcPr>
          <w:p w14:paraId="20F445A2" w14:textId="77777777" w:rsidR="00BE7BDE" w:rsidRPr="00BE7BDE" w:rsidRDefault="00BE7BDE" w:rsidP="00BE7BDE">
            <w:r w:rsidRPr="00BE7BDE">
              <w:t>Display</w:t>
            </w:r>
          </w:p>
        </w:tc>
        <w:tc>
          <w:tcPr>
            <w:tcW w:w="0" w:type="auto"/>
            <w:vAlign w:val="center"/>
            <w:hideMark/>
          </w:tcPr>
          <w:p w14:paraId="56201405" w14:textId="77777777" w:rsidR="00BE7BDE" w:rsidRPr="00BE7BDE" w:rsidRDefault="00BE7BDE" w:rsidP="00BE7BDE">
            <w:r w:rsidRPr="00BE7BDE">
              <w:t xml:space="preserve">Color, rotatable, </w:t>
            </w:r>
            <w:proofErr w:type="gramStart"/>
            <w:r w:rsidRPr="00BE7BDE">
              <w:t>high-contrast</w:t>
            </w:r>
            <w:proofErr w:type="gramEnd"/>
          </w:p>
        </w:tc>
        <w:tc>
          <w:tcPr>
            <w:tcW w:w="0" w:type="auto"/>
            <w:vAlign w:val="center"/>
            <w:hideMark/>
          </w:tcPr>
          <w:p w14:paraId="27ACD830" w14:textId="77777777" w:rsidR="00BE7BDE" w:rsidRPr="00BE7BDE" w:rsidRDefault="00BE7BDE" w:rsidP="00BE7BDE">
            <w:r w:rsidRPr="00BE7BDE">
              <w:t xml:space="preserve">Color, rotatable, </w:t>
            </w:r>
            <w:proofErr w:type="gramStart"/>
            <w:r w:rsidRPr="00BE7BDE">
              <w:t>high-contrast</w:t>
            </w:r>
            <w:proofErr w:type="gramEnd"/>
          </w:p>
        </w:tc>
      </w:tr>
      <w:tr w:rsidR="00BE7BDE" w:rsidRPr="00BE7BDE" w14:paraId="3633755E" w14:textId="77777777" w:rsidTr="00BE7BDE">
        <w:trPr>
          <w:tblCellSpacing w:w="15" w:type="dxa"/>
        </w:trPr>
        <w:tc>
          <w:tcPr>
            <w:tcW w:w="0" w:type="auto"/>
            <w:vAlign w:val="center"/>
            <w:hideMark/>
          </w:tcPr>
          <w:p w14:paraId="52776BC3" w14:textId="77777777" w:rsidR="00BE7BDE" w:rsidRPr="00BE7BDE" w:rsidRDefault="00BE7BDE" w:rsidP="00BE7BDE">
            <w:r w:rsidRPr="00BE7BDE">
              <w:t>Battery Runtime</w:t>
            </w:r>
          </w:p>
        </w:tc>
        <w:tc>
          <w:tcPr>
            <w:tcW w:w="0" w:type="auto"/>
            <w:vAlign w:val="center"/>
            <w:hideMark/>
          </w:tcPr>
          <w:p w14:paraId="4A6DF114" w14:textId="77777777" w:rsidR="00BE7BDE" w:rsidRPr="00BE7BDE" w:rsidRDefault="00BE7BDE" w:rsidP="00BE7BDE">
            <w:r w:rsidRPr="00BE7BDE">
              <w:t>Up to 24 hours</w:t>
            </w:r>
          </w:p>
        </w:tc>
        <w:tc>
          <w:tcPr>
            <w:tcW w:w="0" w:type="auto"/>
            <w:vAlign w:val="center"/>
            <w:hideMark/>
          </w:tcPr>
          <w:p w14:paraId="76C672EA" w14:textId="77777777" w:rsidR="00BE7BDE" w:rsidRPr="00BE7BDE" w:rsidRDefault="00BE7BDE" w:rsidP="00BE7BDE">
            <w:r w:rsidRPr="00BE7BDE">
              <w:t>Up to 24 hours</w:t>
            </w:r>
          </w:p>
        </w:tc>
      </w:tr>
      <w:tr w:rsidR="00BE7BDE" w:rsidRPr="00BE7BDE" w14:paraId="26F95135" w14:textId="77777777" w:rsidTr="00BE7BDE">
        <w:trPr>
          <w:tblCellSpacing w:w="15" w:type="dxa"/>
        </w:trPr>
        <w:tc>
          <w:tcPr>
            <w:tcW w:w="0" w:type="auto"/>
            <w:vAlign w:val="center"/>
            <w:hideMark/>
          </w:tcPr>
          <w:p w14:paraId="6F2A6273" w14:textId="77777777" w:rsidR="00BE7BDE" w:rsidRPr="00BE7BDE" w:rsidRDefault="00BE7BDE" w:rsidP="00BE7BDE">
            <w:r w:rsidRPr="00BE7BDE">
              <w:t>Memory Capacity</w:t>
            </w:r>
          </w:p>
        </w:tc>
        <w:tc>
          <w:tcPr>
            <w:tcW w:w="0" w:type="auto"/>
            <w:vAlign w:val="center"/>
            <w:hideMark/>
          </w:tcPr>
          <w:p w14:paraId="480FC4AC" w14:textId="77777777" w:rsidR="00BE7BDE" w:rsidRPr="00BE7BDE" w:rsidRDefault="00BE7BDE" w:rsidP="00BE7BDE">
            <w:r w:rsidRPr="00BE7BDE">
              <w:t>10,000 readings</w:t>
            </w:r>
          </w:p>
        </w:tc>
        <w:tc>
          <w:tcPr>
            <w:tcW w:w="0" w:type="auto"/>
            <w:vAlign w:val="center"/>
            <w:hideMark/>
          </w:tcPr>
          <w:p w14:paraId="1FF8CDBB" w14:textId="77777777" w:rsidR="00BE7BDE" w:rsidRPr="00BE7BDE" w:rsidRDefault="00BE7BDE" w:rsidP="00BE7BDE">
            <w:r w:rsidRPr="00BE7BDE">
              <w:t>250,000 readings / 2,500 batches</w:t>
            </w:r>
          </w:p>
        </w:tc>
      </w:tr>
      <w:tr w:rsidR="00BE7BDE" w:rsidRPr="00BE7BDE" w14:paraId="32E87A14" w14:textId="77777777" w:rsidTr="00BE7BDE">
        <w:trPr>
          <w:tblCellSpacing w:w="15" w:type="dxa"/>
        </w:trPr>
        <w:tc>
          <w:tcPr>
            <w:tcW w:w="0" w:type="auto"/>
            <w:vAlign w:val="center"/>
            <w:hideMark/>
          </w:tcPr>
          <w:p w14:paraId="45AD22AA" w14:textId="77777777" w:rsidR="00BE7BDE" w:rsidRPr="00BE7BDE" w:rsidRDefault="00BE7BDE" w:rsidP="00BE7BDE">
            <w:r w:rsidRPr="00BE7BDE">
              <w:t>Data Transfer</w:t>
            </w:r>
          </w:p>
        </w:tc>
        <w:tc>
          <w:tcPr>
            <w:tcW w:w="0" w:type="auto"/>
            <w:vAlign w:val="center"/>
            <w:hideMark/>
          </w:tcPr>
          <w:p w14:paraId="1E17A761" w14:textId="77777777" w:rsidR="00BE7BDE" w:rsidRPr="00BE7BDE" w:rsidRDefault="00BE7BDE" w:rsidP="00BE7BDE">
            <w:r w:rsidRPr="00BE7BDE">
              <w:t>USB</w:t>
            </w:r>
          </w:p>
        </w:tc>
        <w:tc>
          <w:tcPr>
            <w:tcW w:w="0" w:type="auto"/>
            <w:vAlign w:val="center"/>
            <w:hideMark/>
          </w:tcPr>
          <w:p w14:paraId="0C7D02FE" w14:textId="77777777" w:rsidR="00BE7BDE" w:rsidRPr="00BE7BDE" w:rsidRDefault="00BE7BDE" w:rsidP="00BE7BDE">
            <w:r w:rsidRPr="00BE7BDE">
              <w:t>USB + Bluetooth® (dongle included)</w:t>
            </w:r>
          </w:p>
        </w:tc>
      </w:tr>
      <w:tr w:rsidR="00BE7BDE" w:rsidRPr="00BE7BDE" w14:paraId="0DF1FF5F" w14:textId="77777777" w:rsidTr="00BE7BDE">
        <w:trPr>
          <w:tblCellSpacing w:w="15" w:type="dxa"/>
        </w:trPr>
        <w:tc>
          <w:tcPr>
            <w:tcW w:w="0" w:type="auto"/>
            <w:vAlign w:val="center"/>
            <w:hideMark/>
          </w:tcPr>
          <w:p w14:paraId="1BA026C3" w14:textId="77777777" w:rsidR="00BE7BDE" w:rsidRPr="00BE7BDE" w:rsidRDefault="00BE7BDE" w:rsidP="00BE7BDE">
            <w:r w:rsidRPr="00BE7BDE">
              <w:t>IP Protection</w:t>
            </w:r>
          </w:p>
        </w:tc>
        <w:tc>
          <w:tcPr>
            <w:tcW w:w="0" w:type="auto"/>
            <w:vAlign w:val="center"/>
            <w:hideMark/>
          </w:tcPr>
          <w:p w14:paraId="69FBC3FB" w14:textId="77777777" w:rsidR="00BE7BDE" w:rsidRPr="00BE7BDE" w:rsidRDefault="00BE7BDE" w:rsidP="00BE7BDE">
            <w:r w:rsidRPr="00BE7BDE">
              <w:t>IP64</w:t>
            </w:r>
          </w:p>
        </w:tc>
        <w:tc>
          <w:tcPr>
            <w:tcW w:w="0" w:type="auto"/>
            <w:vAlign w:val="center"/>
            <w:hideMark/>
          </w:tcPr>
          <w:p w14:paraId="7A9A5669" w14:textId="77777777" w:rsidR="00BE7BDE" w:rsidRPr="00BE7BDE" w:rsidRDefault="00BE7BDE" w:rsidP="00BE7BDE">
            <w:r w:rsidRPr="00BE7BDE">
              <w:t>IP64</w:t>
            </w:r>
          </w:p>
        </w:tc>
      </w:tr>
      <w:tr w:rsidR="00BE7BDE" w:rsidRPr="00BE7BDE" w14:paraId="70EC7E7C" w14:textId="77777777" w:rsidTr="00BE7BDE">
        <w:trPr>
          <w:tblCellSpacing w:w="15" w:type="dxa"/>
        </w:trPr>
        <w:tc>
          <w:tcPr>
            <w:tcW w:w="0" w:type="auto"/>
            <w:vAlign w:val="center"/>
            <w:hideMark/>
          </w:tcPr>
          <w:p w14:paraId="17DE917E" w14:textId="77777777" w:rsidR="00BE7BDE" w:rsidRPr="00BE7BDE" w:rsidRDefault="00BE7BDE" w:rsidP="00BE7BDE">
            <w:r w:rsidRPr="00BE7BDE">
              <w:t>Probe Compatibility</w:t>
            </w:r>
          </w:p>
        </w:tc>
        <w:tc>
          <w:tcPr>
            <w:tcW w:w="0" w:type="auto"/>
            <w:vAlign w:val="center"/>
            <w:hideMark/>
          </w:tcPr>
          <w:p w14:paraId="5080482B" w14:textId="77777777" w:rsidR="00BE7BDE" w:rsidRPr="00BE7BDE" w:rsidRDefault="00BE7BDE" w:rsidP="00BE7BDE">
            <w:r w:rsidRPr="00BE7BDE">
              <w:t>Digital + legacy (with adapter)</w:t>
            </w:r>
          </w:p>
        </w:tc>
        <w:tc>
          <w:tcPr>
            <w:tcW w:w="0" w:type="auto"/>
            <w:vAlign w:val="center"/>
            <w:hideMark/>
          </w:tcPr>
          <w:p w14:paraId="645D78B4" w14:textId="77777777" w:rsidR="00BE7BDE" w:rsidRPr="00BE7BDE" w:rsidRDefault="00BE7BDE" w:rsidP="00BE7BDE">
            <w:r w:rsidRPr="00BE7BDE">
              <w:t>Digital + legacy (with adapter)</w:t>
            </w:r>
          </w:p>
        </w:tc>
      </w:tr>
    </w:tbl>
    <w:p w14:paraId="3BBD46DF" w14:textId="77777777" w:rsidR="00BE7BDE" w:rsidRPr="00BE7BDE" w:rsidRDefault="00000000" w:rsidP="00BE7BDE">
      <w:r>
        <w:pict w14:anchorId="650DCD16">
          <v:rect id="_x0000_i1027" style="width:0;height:1.5pt" o:hralign="center" o:hrstd="t" o:hr="t" fillcolor="#a0a0a0" stroked="f"/>
        </w:pict>
      </w:r>
    </w:p>
    <w:p w14:paraId="67549B2C" w14:textId="77777777" w:rsidR="00BE7BDE" w:rsidRPr="00BE7BDE" w:rsidRDefault="00BE7BDE" w:rsidP="00BE7BDE">
      <w:pPr>
        <w:rPr>
          <w:b/>
          <w:bCs/>
        </w:rPr>
      </w:pPr>
      <w:r w:rsidRPr="00BE7BDE">
        <w:rPr>
          <w:rFonts w:ascii="Segoe UI Emoji" w:hAnsi="Segoe UI Emoji" w:cs="Segoe UI Emoji"/>
          <w:b/>
          <w:bCs/>
        </w:rPr>
        <w:t>📦</w:t>
      </w:r>
      <w:r w:rsidRPr="00BE7BDE">
        <w:rPr>
          <w:b/>
          <w:bCs/>
        </w:rPr>
        <w:t xml:space="preserve"> Delivery Content</w:t>
      </w:r>
    </w:p>
    <w:p w14:paraId="33D1CFBC" w14:textId="77777777" w:rsidR="00BE7BDE" w:rsidRPr="00C575F8" w:rsidRDefault="00BE7BDE" w:rsidP="00BE7BDE">
      <w:pPr>
        <w:numPr>
          <w:ilvl w:val="0"/>
          <w:numId w:val="2"/>
        </w:numPr>
      </w:pPr>
      <w:r w:rsidRPr="00C575F8">
        <w:t>DELTASCOPE® DMP10 or DMP30 instrument (probe sold separately)</w:t>
      </w:r>
    </w:p>
    <w:p w14:paraId="131B3697" w14:textId="77777777" w:rsidR="00BE7BDE" w:rsidRPr="00C575F8" w:rsidRDefault="00BE7BDE" w:rsidP="00BE7BDE">
      <w:pPr>
        <w:numPr>
          <w:ilvl w:val="0"/>
          <w:numId w:val="2"/>
        </w:numPr>
      </w:pPr>
      <w:r w:rsidRPr="00C575F8">
        <w:t>Compact carrying case</w:t>
      </w:r>
    </w:p>
    <w:p w14:paraId="160A09C9" w14:textId="77777777" w:rsidR="00BE7BDE" w:rsidRPr="00C575F8" w:rsidRDefault="00BE7BDE" w:rsidP="00BE7BDE">
      <w:pPr>
        <w:numPr>
          <w:ilvl w:val="0"/>
          <w:numId w:val="2"/>
        </w:numPr>
      </w:pPr>
      <w:r w:rsidRPr="00C575F8">
        <w:t>Rechargeable lithium-ion battery</w:t>
      </w:r>
    </w:p>
    <w:p w14:paraId="1A263013" w14:textId="77777777" w:rsidR="00BE7BDE" w:rsidRPr="00C575F8" w:rsidRDefault="00BE7BDE" w:rsidP="00BE7BDE">
      <w:pPr>
        <w:numPr>
          <w:ilvl w:val="0"/>
          <w:numId w:val="2"/>
        </w:numPr>
      </w:pPr>
      <w:r w:rsidRPr="00C575F8">
        <w:t>USB interface cable</w:t>
      </w:r>
    </w:p>
    <w:p w14:paraId="460F0A64" w14:textId="77777777" w:rsidR="00BE7BDE" w:rsidRPr="00C575F8" w:rsidRDefault="00BE7BDE" w:rsidP="00BE7BDE">
      <w:pPr>
        <w:numPr>
          <w:ilvl w:val="0"/>
          <w:numId w:val="2"/>
        </w:numPr>
      </w:pPr>
      <w:r w:rsidRPr="00C575F8">
        <w:t>Carrying strap with panic lock</w:t>
      </w:r>
    </w:p>
    <w:p w14:paraId="4A0E6EBA" w14:textId="77777777" w:rsidR="00BE7BDE" w:rsidRPr="00C575F8" w:rsidRDefault="00BE7BDE" w:rsidP="00BE7BDE">
      <w:pPr>
        <w:numPr>
          <w:ilvl w:val="0"/>
          <w:numId w:val="2"/>
        </w:numPr>
      </w:pPr>
      <w:r w:rsidRPr="00C575F8">
        <w:t>Quick-start guide (English)</w:t>
      </w:r>
    </w:p>
    <w:p w14:paraId="26BAAB97" w14:textId="77777777" w:rsidR="00BE7BDE" w:rsidRPr="00C575F8" w:rsidRDefault="00BE7BDE" w:rsidP="00BE7BDE">
      <w:pPr>
        <w:numPr>
          <w:ilvl w:val="0"/>
          <w:numId w:val="2"/>
        </w:numPr>
      </w:pPr>
      <w:r w:rsidRPr="00C575F8">
        <w:t>Tactile Suite® software</w:t>
      </w:r>
    </w:p>
    <w:p w14:paraId="62558769" w14:textId="77777777" w:rsidR="00BE7BDE" w:rsidRPr="00C575F8" w:rsidRDefault="00BE7BDE" w:rsidP="00BE7BDE">
      <w:pPr>
        <w:numPr>
          <w:ilvl w:val="0"/>
          <w:numId w:val="2"/>
        </w:numPr>
      </w:pPr>
      <w:r w:rsidRPr="00C575F8">
        <w:t>DMP30 only: Bluetooth® USB dongle</w:t>
      </w:r>
    </w:p>
    <w:p w14:paraId="0638B2E5" w14:textId="77777777" w:rsidR="00BE7BDE" w:rsidRPr="00C575F8" w:rsidRDefault="00BE7BDE" w:rsidP="00BE7BDE">
      <w:r w:rsidRPr="00C575F8">
        <w:rPr>
          <w:rFonts w:ascii="Segoe UI Emoji" w:hAnsi="Segoe UI Emoji" w:cs="Segoe UI Emoji"/>
        </w:rPr>
        <w:t>⚠️</w:t>
      </w:r>
      <w:r w:rsidRPr="00C575F8">
        <w:t xml:space="preserve"> Note: External battery charger and measuring probe sold separately.</w:t>
      </w:r>
    </w:p>
    <w:p w14:paraId="4833B64F" w14:textId="77777777" w:rsidR="00BE7BDE" w:rsidRPr="00BE7BDE" w:rsidRDefault="00000000" w:rsidP="00BE7BDE">
      <w:r>
        <w:lastRenderedPageBreak/>
        <w:pict w14:anchorId="5D81BAB4">
          <v:rect id="_x0000_i1028" style="width:0;height:1.5pt" o:hralign="center" o:hrstd="t" o:hr="t" fillcolor="#a0a0a0" stroked="f"/>
        </w:pict>
      </w:r>
    </w:p>
    <w:p w14:paraId="02E5DA9B" w14:textId="77777777" w:rsidR="00BE7BDE" w:rsidRPr="00BE7BDE" w:rsidRDefault="00BE7BDE" w:rsidP="00BE7BDE">
      <w:pPr>
        <w:rPr>
          <w:b/>
          <w:bCs/>
        </w:rPr>
      </w:pPr>
      <w:r w:rsidRPr="00BE7BDE">
        <w:rPr>
          <w:rFonts w:ascii="Segoe UI Emoji" w:hAnsi="Segoe UI Emoji" w:cs="Segoe UI Emoji"/>
          <w:b/>
          <w:bCs/>
        </w:rPr>
        <w:t>🔄</w:t>
      </w:r>
      <w:r w:rsidRPr="00BE7BDE">
        <w:rPr>
          <w:b/>
          <w:bCs/>
        </w:rPr>
        <w:t xml:space="preserve"> Choose Your Model</w:t>
      </w:r>
    </w:p>
    <w:p w14:paraId="470020FC" w14:textId="77777777" w:rsidR="00BE7BDE" w:rsidRPr="00C575F8" w:rsidRDefault="00BE7BDE" w:rsidP="00BE7BDE">
      <w:r w:rsidRPr="00C575F8">
        <w:t>Choose the DMP10 for essential, reliable coating thickness measurement needs in manufacturing and QA environments. Upgrade to the DMP30 for enhanced data handling, batch storage, and wireless connectivity—ideal for high-throughput users and integrated quality systems.</w:t>
      </w:r>
    </w:p>
    <w:p w14:paraId="1725C97E" w14:textId="77777777" w:rsidR="00873B6B" w:rsidRDefault="00873B6B"/>
    <w:sectPr w:rsidR="00873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18B"/>
    <w:multiLevelType w:val="multilevel"/>
    <w:tmpl w:val="68FE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FF7EB9"/>
    <w:multiLevelType w:val="multilevel"/>
    <w:tmpl w:val="937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988850">
    <w:abstractNumId w:val="0"/>
  </w:num>
  <w:num w:numId="2" w16cid:durableId="198674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DE"/>
    <w:rsid w:val="004A2A6B"/>
    <w:rsid w:val="00873B6B"/>
    <w:rsid w:val="008B0E9B"/>
    <w:rsid w:val="00BE7BDE"/>
    <w:rsid w:val="00C5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A1C4"/>
  <w15:chartTrackingRefBased/>
  <w15:docId w15:val="{1F59B17F-8960-423A-89E7-A275EEB5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BDE"/>
    <w:rPr>
      <w:rFonts w:eastAsiaTheme="majorEastAsia" w:cstheme="majorBidi"/>
      <w:color w:val="272727" w:themeColor="text1" w:themeTint="D8"/>
    </w:rPr>
  </w:style>
  <w:style w:type="paragraph" w:styleId="Title">
    <w:name w:val="Title"/>
    <w:basedOn w:val="Normal"/>
    <w:next w:val="Normal"/>
    <w:link w:val="TitleChar"/>
    <w:uiPriority w:val="10"/>
    <w:qFormat/>
    <w:rsid w:val="00BE7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BDE"/>
    <w:pPr>
      <w:spacing w:before="160"/>
      <w:jc w:val="center"/>
    </w:pPr>
    <w:rPr>
      <w:i/>
      <w:iCs/>
      <w:color w:val="404040" w:themeColor="text1" w:themeTint="BF"/>
    </w:rPr>
  </w:style>
  <w:style w:type="character" w:customStyle="1" w:styleId="QuoteChar">
    <w:name w:val="Quote Char"/>
    <w:basedOn w:val="DefaultParagraphFont"/>
    <w:link w:val="Quote"/>
    <w:uiPriority w:val="29"/>
    <w:rsid w:val="00BE7BDE"/>
    <w:rPr>
      <w:i/>
      <w:iCs/>
      <w:color w:val="404040" w:themeColor="text1" w:themeTint="BF"/>
    </w:rPr>
  </w:style>
  <w:style w:type="paragraph" w:styleId="ListParagraph">
    <w:name w:val="List Paragraph"/>
    <w:basedOn w:val="Normal"/>
    <w:uiPriority w:val="34"/>
    <w:qFormat/>
    <w:rsid w:val="00BE7BDE"/>
    <w:pPr>
      <w:ind w:left="720"/>
      <w:contextualSpacing/>
    </w:pPr>
  </w:style>
  <w:style w:type="character" w:styleId="IntenseEmphasis">
    <w:name w:val="Intense Emphasis"/>
    <w:basedOn w:val="DefaultParagraphFont"/>
    <w:uiPriority w:val="21"/>
    <w:qFormat/>
    <w:rsid w:val="00BE7BDE"/>
    <w:rPr>
      <w:i/>
      <w:iCs/>
      <w:color w:val="0F4761" w:themeColor="accent1" w:themeShade="BF"/>
    </w:rPr>
  </w:style>
  <w:style w:type="paragraph" w:styleId="IntenseQuote">
    <w:name w:val="Intense Quote"/>
    <w:basedOn w:val="Normal"/>
    <w:next w:val="Normal"/>
    <w:link w:val="IntenseQuoteChar"/>
    <w:uiPriority w:val="30"/>
    <w:qFormat/>
    <w:rsid w:val="00BE7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BDE"/>
    <w:rPr>
      <w:i/>
      <w:iCs/>
      <w:color w:val="0F4761" w:themeColor="accent1" w:themeShade="BF"/>
    </w:rPr>
  </w:style>
  <w:style w:type="character" w:styleId="IntenseReference">
    <w:name w:val="Intense Reference"/>
    <w:basedOn w:val="DefaultParagraphFont"/>
    <w:uiPriority w:val="32"/>
    <w:qFormat/>
    <w:rsid w:val="00BE7B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6171">
      <w:bodyDiv w:val="1"/>
      <w:marLeft w:val="0"/>
      <w:marRight w:val="0"/>
      <w:marTop w:val="0"/>
      <w:marBottom w:val="0"/>
      <w:divBdr>
        <w:top w:val="none" w:sz="0" w:space="0" w:color="auto"/>
        <w:left w:val="none" w:sz="0" w:space="0" w:color="auto"/>
        <w:bottom w:val="none" w:sz="0" w:space="0" w:color="auto"/>
        <w:right w:val="none" w:sz="0" w:space="0" w:color="auto"/>
      </w:divBdr>
      <w:divsChild>
        <w:div w:id="890776120">
          <w:marLeft w:val="0"/>
          <w:marRight w:val="0"/>
          <w:marTop w:val="0"/>
          <w:marBottom w:val="0"/>
          <w:divBdr>
            <w:top w:val="none" w:sz="0" w:space="0" w:color="auto"/>
            <w:left w:val="none" w:sz="0" w:space="0" w:color="auto"/>
            <w:bottom w:val="none" w:sz="0" w:space="0" w:color="auto"/>
            <w:right w:val="none" w:sz="0" w:space="0" w:color="auto"/>
          </w:divBdr>
          <w:divsChild>
            <w:div w:id="2810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6722">
      <w:bodyDiv w:val="1"/>
      <w:marLeft w:val="0"/>
      <w:marRight w:val="0"/>
      <w:marTop w:val="0"/>
      <w:marBottom w:val="0"/>
      <w:divBdr>
        <w:top w:val="none" w:sz="0" w:space="0" w:color="auto"/>
        <w:left w:val="none" w:sz="0" w:space="0" w:color="auto"/>
        <w:bottom w:val="none" w:sz="0" w:space="0" w:color="auto"/>
        <w:right w:val="none" w:sz="0" w:space="0" w:color="auto"/>
      </w:divBdr>
      <w:divsChild>
        <w:div w:id="725178733">
          <w:marLeft w:val="0"/>
          <w:marRight w:val="0"/>
          <w:marTop w:val="0"/>
          <w:marBottom w:val="0"/>
          <w:divBdr>
            <w:top w:val="none" w:sz="0" w:space="0" w:color="auto"/>
            <w:left w:val="none" w:sz="0" w:space="0" w:color="auto"/>
            <w:bottom w:val="none" w:sz="0" w:space="0" w:color="auto"/>
            <w:right w:val="none" w:sz="0" w:space="0" w:color="auto"/>
          </w:divBdr>
          <w:divsChild>
            <w:div w:id="19508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He</dc:creator>
  <cp:keywords/>
  <dc:description/>
  <cp:lastModifiedBy>Jimmy He</cp:lastModifiedBy>
  <cp:revision>2</cp:revision>
  <dcterms:created xsi:type="dcterms:W3CDTF">2025-07-11T14:09:00Z</dcterms:created>
  <dcterms:modified xsi:type="dcterms:W3CDTF">2025-07-11T14:13:00Z</dcterms:modified>
</cp:coreProperties>
</file>